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val="en-US" w:eastAsia="zh-CN"/>
        </w:rPr>
        <w:t>乌苏市民政局</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 年 </w:t>
      </w:r>
      <w:r>
        <w:rPr>
          <w:rFonts w:eastAsia="仿宋_GB2312" w:hAnsi="宋体" w:cs="宋体" w:hint="eastAsia"/>
          <w:kern w:val="0"/>
          <w:sz w:val="36"/>
          <w:szCs w:val="36"/>
          <w:lang w:val="en-US" w:eastAsia="zh-CN"/>
        </w:rPr>
        <w:t>2</w:t>
      </w:r>
      <w:r>
        <w:rPr>
          <w:rFonts w:eastAsia="仿宋_GB2312" w:hAnsi="宋体" w:cs="宋体" w:hint="eastAsia"/>
          <w:kern w:val="0"/>
          <w:sz w:val="36"/>
          <w:szCs w:val="36"/>
        </w:rPr>
        <w:t xml:space="preserve"> 月 </w:t>
      </w:r>
      <w:r>
        <w:rPr>
          <w:rFonts w:eastAsia="仿宋_GB2312" w:hAnsi="宋体" w:cs="宋体" w:hint="eastAsia"/>
          <w:kern w:val="0"/>
          <w:sz w:val="36"/>
          <w:szCs w:val="36"/>
          <w:lang w:val="en-US" w:eastAsia="zh-CN"/>
        </w:rPr>
        <w:t>5</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（一）单位基本情况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1.部门主要职能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部门单位基本情况1.主要职能（一）根据国家、自治区和地区关于民政工作的法律、法规、规章、方针、政策，研究制定民政事业发展规划；研究拟订民政工作的政策并组织实施和监督检查。（二）拟订全市社会救助规划、政策和标准，健全城乡社会救助体系；负责城乡居民最低生活保障、临时救助、生活无着的人员救助和城市低收入家庭收入认定工作；负责农村五保供养和农村敬老院建设管理工作。（三）承担全市社会团体、民办非企业单位登记管理和监察责任。依法对全市社会团体、民办非企业单位进行登记管理、年检、执法监察；指导、监督全市社会团体和民办非企业单位登记管理工作。（四）指导全市城乡基层政权建设和基层群众自治组织建设；指导村（居）民委员会民主选举、民主决策、民主管理和民主监督工作，推动村务公开和基层民主政治建设；承担村务公开领导小组的具体工作。（五）承办全市行政区划工作，研究和修订行政区划规划；负责乡以上行政区域的设立、撤消、调整、更名和界限变更及政府驻地迁移的审核报批；承办与毗邻地县市的边界线勘界工作；负责全市行政区域边界线的勘定和管理工作；协调处理区内边界争议和纠纷；贯彻国家、自治区和地区地名法规，承办乡以上行政区划名称和地名命名、更名的审核报批，规范全市地名标志的设置和管理。（六）组织拟订和实施全市社会福利发展规划、政策和标准并组织实施；拟订社会福利机构管理办法、福利彩票发行管理办法并组织实施；组织拟订促进慈善事业发展规划和相关政策，组织、指导社会捐助工作；拟订社会福利企业认定标准和扶持政策并组织实施；负责老年人、孤儿和残疾人等特殊群体权益保障工作。（七）贯彻落实国家婚姻登记、殡葬管理和儿童收养政策，负责推进婚俗和殡葬改革，负责全市婚姻登记、殡葬管理和儿童收养工作，指导婚姻、殡葬、收养、救助服务机构管理工作。（八）会同有关部门拟订全市社会工作发展规划、政策和职业规范，推进社会工作人才队伍建设和相关志愿者队伍建设。（九）承办市政府交办的其他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乌苏市民政局机关行政编制15名，其中：行政编制6名，机关工勤事业编制9名。实有人员15人。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推进养老服务高质量发展。加大养老机构投入，为颐心园综合养老服务机构拨付运营补贴共计48.46万元。积极对接地区申请福彩公益金250万元用于养老机构的消防改造及失能失智托养中心设备购置。严格落实高龄老人津贴制度和免费体检制度，按照80岁到89岁老人50元/月、90岁到99岁老人120元/月、100岁及以上老人200元/月标准发放。认真落实残疾人“两项补贴”制度，共发放残疾人“两项补贴”资金413.144万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二）做好困难群众救助兜底。将城市最低生活保障标准提高至616元/月/人，农村最低生活保障标准为5508元/年/人。截至目前，全市共纳入低保对象共3156户4968人。其中，城市低保对象977户1436人;农村低保对象2179户3532人。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着力加强儿童关爱保护。全面做好孤儿保障和管理工作，确保孤儿各类资金及时足额发放到位。截至目前，全市共有孤儿和事实无人抚养儿童191人，其中，孤儿31人，集中供养27人、分散供养儿童有4人，集中供养儿童基本生活费1610元/月/人；分散供养儿童基本生活费1150元/月/人，今年1-12月为孤儿发放基本生活费 61.226万元；孤儿物价补贴发了2480元。开展了助力孤儿教育，发放“福彩圆梦？孤儿助学工程”助学金6万元；为1名贫困家庭儿童患有先天性左侧外耳道闭锁疾病儿童申请了自治区“明天计划”的免费手术项目。今年在虹桥街道和平路社区开展了慈善捐赠活动，为我市226名品学兼优的孩子们进行了捐资助学，共捐资了208250元。做好未成年人保护工作，成立市未成年人保护工作委员会。建立了市、乡（镇）、村（居）三级关爱保护队伍，确保每个乡镇有一名以上儿童督导员，每个行政村（居委会）有一名儿童主任。目前，我市乡镇有儿童督导员22人，村（居）儿童主任177人。组织乡镇儿童督导员、村（居）儿童主任开展了《未成年</w:t>
      </w:r>
      <w:r>
        <w:rPr>
          <w:rFonts w:ascii="仿宋_GB2312" w:eastAsia="仿宋_GB2312" w:hAnsi="宋体" w:hint="eastAsia"/>
          <w:b/>
          <w:sz w:val="32"/>
          <w:szCs w:val="32"/>
          <w:lang w:val="en-US" w:eastAsia="zh-CN"/>
        </w:rPr>
        <w:t>人</w:t>
      </w:r>
      <w:r>
        <w:rPr>
          <w:rFonts w:ascii="仿宋_GB2312" w:eastAsia="仿宋_GB2312" w:hAnsi="宋体" w:hint="eastAsia"/>
          <w:b/>
          <w:sz w:val="32"/>
          <w:szCs w:val="32"/>
        </w:rPr>
        <w:t>保护法》宣传活动及未成年人防溺水宣传工作，从生活上、精神上及法律援助上给予帮扶和关爱。</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依法依规开展婚姻登记工作。1-12月办理登记结婚759对，离婚203对，补发结婚447对，补发离婚56对，协助有关部门查询婚姻关系480多次，婚姻登记率和登记合格率均达到100%，未发生过违规登记事件。在做好婚姻登记的同时，狠抓档案管理工作，指定专人负责管理婚姻档案资料，按照《婚姻登记档案管理办法》，结合创建的要求，及时按新办法进行档案整理，建立档案室，认真做到档案入柜，积极完善婚姻档案的收集、整理、查阅、登记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多举措做好殡葬管理工作。加强殡葬领域宣传，倡导群众文明祭扫，加强基础设施建设，已申请到乌苏市第二殡仪馆建设项目及资金。大力提升殡葬服务水平，不断规范殡葬服务方式、服务流程和收费标准，完善便民设施。加强公墓管理，认真贯彻执行《殡葬管理条例》和《公墓管理暂行办法》，做好公墓清理整顿，在全市开展殡葬业价格秩序、公益性安葬设施建设经营专项整治活动，依法查处违规违法行为，坚决禁止农村公益性墓地从事经营活动；严格履行监管职能，加强对承接殡仪馆公建民营项目单位新疆融兴盛景城市服务有限公司的监督管理，抓好殡葬服务机构维护稳定、疫情防控和安全生产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（六）依法开展社团、民非登记管理工作。按照《社会团体登记管理条例》和</w:t>
      </w:r>
      <w:r>
        <w:rPr>
          <w:rFonts w:ascii="仿宋_GB2312" w:eastAsia="仿宋_GB2312" w:hAnsi="宋体" w:hint="eastAsia"/>
          <w:b/>
          <w:sz w:val="32"/>
          <w:szCs w:val="32"/>
        </w:rPr>
        <w:t>《民办非企业单位登记管理暂行条例》</w:t>
      </w:r>
      <w:r>
        <w:rPr>
          <w:rFonts w:ascii="仿宋_GB2312" w:eastAsia="仿宋_GB2312" w:hAnsi="宋体" w:hint="eastAsia"/>
          <w:b/>
          <w:sz w:val="32"/>
          <w:szCs w:val="32"/>
        </w:rPr>
        <w:t>规定及相关政策，高质量地做好社会组织日常登记管理工作。不断提高服务质量，对社会组织“进门”前的网上申报材料严格审核，加大对“进门”后的动态管理和事后监督,同时严格执行登记限时办结制度，激发了社会组织活力，促进社会组织信息管理。2022年度，乌苏市共有社会组织 78家，其中社会团体58家，民办非企业单位20家，新成立2个，社会团体变更2个，社会团体注销1个；参加年检社会团体56家，社会服务机构15家，共计71家社会组织（含14家僵尸型）；社会团体年检合格38个,民非年检合格15个。</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七）做好地名区划和基层政权工作。对乌苏市地名词典2-8部分进行编纂，共计35条；完成乌苏市乡级行政区域界线相关数据进行统计；对全国地名信息政务管理平台12大项进行录入及修改，共计1091条，完成对乌苏市地名志进行编纂，共计118条。完成对全国基层政权系统涉及的乡镇、街道，村队社区基本情况、人员信息、社会工作者、社会服务机构、村（居）民约、村队、社区统一信用代码证等信息录入工作。收集、汇总全市业主委员会情况，目前乌苏市小区64个，物业服务企业24家、服务小区48个，社区居委会托管小区16个。业主委员会成立率42%，物业服务覆盖率75%。上报三个清单《基层群众性自治组织依法自治事项清单》25项、《基层群众性自治组织依法协助政府工作事项清单》19项、《基层自治组织减负工作事项清单》5项。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困难群众救助补助、残疾人两项补贴、80岁以上老人高龄津贴、孤儿助学金、第二殡仪馆建设、民办养老机构补助等重点项目，履行了城乡居民最低生活保障、临时救助、生活无着的人员救助、特困供养、老年人、孤儿和残疾人等特殊群体权益保障、贯彻落实国家婚姻登记、殡葬管理和儿童收养政策，指导婚姻、殡葬、收养、救助服务机构管理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本年度预算安排的重点项目支出5514.23万元，项目总支出5514.23万元，重点支出保障率为100%。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我单位年初预算数为1567.36万元，实际预算执行数1552.58万元，年初预算执行率为99.06%。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全年预算数为5799.94万元，全年实际支出资金5799.94万元，全年预算执行率为100%。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我单位年初批复预算数1567.36万元，年中调整数4232.58万元，调整后全年预算数5799.94万元，预算调整率270.04%。</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年初政府采购预算数为53.65万元，实际政府采购数为53.65万元，年初政府采购执行率为100%。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民政局预算绩效管理工作实施办法》，《乌苏市民政局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乌苏市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2022年本单位基本支出全年预算总额285.71万元，其中：人员经费278.87万元，公用经费6.84万元。实际支出285.71万元，基本支出预算执行率100%。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预算为4.64万元，实际支出0.69万元，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14.82%，其中：因公出国（境）费预算为0万元，实际支出0万元；公务接待费预算为0万元，实际支出0万元；公务用车购置费预算为0万元，实际支出0万元；公务用车运行维护费预算为4.64万元，实际支出0.69万元，公务用车运行维护费控制率14.82%，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2022年本单位安排专项支出预算总额5514.23万元，实际支出5514.23万元，专项支出预算执行率100%。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2022年本单位共有12个资金项目，其中8个属经常性项目、4个属当年度新增项目，已完成项目12个、未完成项目0个。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本年我单位实施专项项目12个，涉及金额5514.23万元，其中：中央专项项目2个涉及金额4478.68万元，自治区专项项目3个涉及金额234.59万元，地区本级专项项目2个涉及金额77.00万元。</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（一）乌苏市民政局项目专项组织情况分析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我单位成立项目绩效管理小组，成员如下：</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曹援朝任组长，绩效评价工作职责为负责全盘工作。</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魏蓝任副组长，绩效评价工作职责为为对项目实施情况进行实地调查。</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各科室负责人及所有财务人员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5514.23万元，实际到位5514.23万元，实际支出5514.23万元。到位足额及时，预算编制依据充分，预算编制准确，资金不存在截留、挪用，支付审批合规、不存在用途改变、范围超支和虚列项目支出等情况；项目严格按照《乌苏市民政局财务管理制度》执行项目资金，实行专账核算、逐级审批。认真落实项目资金的使用各项管理制度，确保专款专用，及时拨付到位。</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预期目标完成程度：按预定目标完成了年初所设定的各项指标。专项经费实际支出未超出预算规定，保障了专项工作的开展。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7344.77万元，比上年减少249.12万元，主要原因是固定资产减少，财政应返还额度减少，其中：货币资金0万元，比上年减少0万元；财政应返还额度452.47万元，比上年减少58.18万元；房屋22854.39平方米5108.59万元，比上年减少114.04万元；车辆4辆1.41万元，比上年减少2.82万元；在建工程85.09万元，比上年增加58.18万元；办公设备及家具160.88万元，比上年减少84.77万元。我单位本年给村队工作队和社区调拨资产27.1万元，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我单位固定资产5184.53万元,其中:10套房屋5108.59万元，4辆车1.41万元，2个专用设备10.5万元，441个办公设备47.09万元。目前正在使用的固定资产总额5184.53万元，固定资产利用率为100%。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根据《行政事业单位资产管理制度》，对货币资金加强管理，统一设立银行存款账户，未经财政主管部门同意不允许单独设立财政监管以外的银行存款账户；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截止本年度固定资产账面净值5184.53万元，年末实际在用固定资产5184.53万元，固定资产利用率为100%。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部门单位整体支出自评表，共设置一级指标3个，二级指标7个，三级指标18个。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“在编人数”指标，预期指标值为“&gt;=15人”，实际完成值为“15人”，指标完成率是100%，达到预期目标。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“公务保障用车数量”指标，预期指标值为“&gt;=2辆”，实际完成值为“4辆”，指标完成率是100%，达到预期目标。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“80周岁以上老年人基本生活补贴发放范围”指标，预期指标值为“&gt;=90%”，实际完成值为“90%”，指标完成率是100%，达到预期目标。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享受困难残疾人生活补贴人数”指标，预期指标值为“&gt;=1537人”，实际完成值为“1435人”，指标完成率是93%，未达成预期目标，未完成的原因是：实际补贴人数减少，今后的改进措施：精细评估，精准预算。</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享受重度残疾人护理补贴人数”指标，预期指标值为“&gt;=1748人”，实际完成值为“1691人”，指标完成率是97%，未达成预期目标，未完成的原因是：实际补贴人数减少，今后的改进措施：精细评估，精准预算。</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“人员经费保障率”指标，预期指标值为“&gt;=90%”，实际完成值为“100%”，指标完成率是100%。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“公务正常运转率”指标，预期指标值为“&gt;=90%”，实际完成值为“100%”，指标完成率是100%。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“项目资金支付率”指标，预期指标值为“&gt;=90%”，实际完成值为“99%”，指标完成率是100%。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3.产出进度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“公用经费支付及时率”指标，预期指标值为“&gt;=90%”，实际完成值为“100%”，指标完成率是100%。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“资金拨付及时率”指标，预期指标值为“&gt;=90%”，实际完成值为“100%”，指标完成率是100%。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“人均运转经费数”指标，预期指标值为“&lt;=1.20万元”，实际完成值为“0.46万元”，指标完成率是38.33%。</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“项目支出成本”指标，预期指标值为“&lt;=1354.54万元”，实际完成值为“1354.54万元”，指标完成率是100%。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“运转保障经费”指标，预期指标值为“&lt;=21.63万元”，实际完成值为“6.84万元”，指标完成率是32%。</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成本指标共计3个，完成3个，达到成本控制及改善目标，成本指标完成。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（二）效益指标完成情况分析 </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“提高困难群众生活水平”指标；预期指标值：有效提高；实际完成值为“达成年度指标”；指标完成率为100%。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“改善老年人、残疾人生活质量”指标；预期指标值：不断改善；实际完成值为“达成年度指标”；指标完成率为100%。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社会效益指标共计2个，完成2个，达到单位履职能力对社会带来的影响预期目标，社会效益指标完成。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“确保民政救助政策持续实施”指标；预期指标值：有效保障；实际完成值为“达成年度指标”；指标完成率为100%。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“在职职工满意度”，预期指标值为“&gt;=90%”，实际完成值是100%，指标完成率是100%，达到在职职工对部门履职效果的满意度。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“补助对象满意度”，预期指标值为“&gt;=90%”，实际完成值是100%，指标完成率是100%，达到补助对象对部门履职效果的满意度。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满意度指标共计2个，完成2个，达到部门服务对象对部门履职效果的满意度，服务对象满意度指标完成。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 1.加强预算执行管理。做好事前审批、事中管理和事后监督工作，不断加快预算执行进度，推动预算执行按照资金计划有序进行。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 强化内部控制管理，严格按规定做好绩效目标申报、自评、公开等相关工作，提高财政资金使用绩效；加强实物资产管理，健全资产管理制度，规范资产清查和核算。</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1.加强预算绩效目标管理工作，明确预算项目绩效目标编制要求，分类别建立科学合理、细化量化、可比可测预算绩效指标体系，突出结果导向，重点考核实绩。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2B2A69"/>
    <w:rsid w:val="136672F1"/>
    <w:rsid w:val="5D9967A1"/>
    <w:rsid w:val="6FCB52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22</cp:revision>
  <dcterms:created xsi:type="dcterms:W3CDTF">2020-06-04T05:22:00Z</dcterms:created>
  <dcterms:modified xsi:type="dcterms:W3CDTF">2023-02-14T11:25:59Z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E9AD1338EF52492EBBE4F01004AE1254</vt:lpwstr>
  </property>
  <property fmtid="{D5CDD505-2E9C-101B-9397-08002B2CF9AE}" pid="3" name="KSOProductBuildVer">
    <vt:lpwstr>2052-11.8.2.8555</vt:lpwstr>
  </property>
</Properties>
</file>